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page" w:horzAnchor="margin" w:tblpXSpec="center" w:tblpY="58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268"/>
        <w:gridCol w:w="5330"/>
      </w:tblGrid>
      <w:tr w:rsidR="009B3F19" w:rsidTr="008E05E1">
        <w:trPr>
          <w:trHeight w:val="280"/>
          <w:tblHeader/>
        </w:trPr>
        <w:tc>
          <w:tcPr>
            <w:tcW w:w="3652" w:type="dxa"/>
            <w:vMerge w:val="restart"/>
            <w:tcBorders>
              <w:top w:val="nil"/>
              <w:left w:val="nil"/>
              <w:right w:val="nil"/>
            </w:tcBorders>
          </w:tcPr>
          <w:p w:rsidR="009B3F19" w:rsidRDefault="008E05E1" w:rsidP="008E05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en-CA" w:eastAsia="en-CA"/>
              </w:rPr>
              <w:drawing>
                <wp:inline distT="0" distB="0" distL="0" distR="0">
                  <wp:extent cx="1802130" cy="1295400"/>
                  <wp:effectExtent l="19050" t="0" r="7620" b="0"/>
                  <wp:docPr id="4" name="Picture 3" descr="C:\Users\Audrey\AppData\Local\Microsoft\Windows\Temporary Internet Files\Content.IE5\SRRIEIYL\MC900446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drey\AppData\Local\Microsoft\Windows\Temporary Internet Files\Content.IE5\SRRIEIYL\MC900446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52" cy="129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Teacher: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7D4CE3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Miss </w:t>
            </w:r>
            <w:r w:rsidR="006229CB">
              <w:rPr>
                <w:rFonts w:ascii="Arial" w:hAnsi="Arial"/>
                <w:sz w:val="16"/>
              </w:rPr>
              <w:t>Audrey Gagnon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School/District: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3F19" w:rsidRDefault="007D4CE3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Garden Creek Elementary School - 18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Subject Area(s) Addressed: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6906BE" w:rsidP="008E05E1">
            <w:pPr>
              <w:pStyle w:val="Header"/>
              <w:tabs>
                <w:tab w:val="clear" w:pos="4320"/>
                <w:tab w:val="clear" w:pos="8640"/>
              </w:tabs>
              <w:spacing w:before="30" w:after="0"/>
              <w:rPr>
                <w:snapToGrid/>
                <w:sz w:val="16"/>
              </w:rPr>
            </w:pPr>
            <w:r>
              <w:rPr>
                <w:snapToGrid/>
                <w:sz w:val="16"/>
              </w:rPr>
              <w:t>Mathematics</w:t>
            </w:r>
            <w:r w:rsidR="00771882">
              <w:rPr>
                <w:snapToGrid/>
                <w:sz w:val="16"/>
              </w:rPr>
              <w:t>, Science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Grade Level(s)/Course: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3F19" w:rsidRDefault="006906BE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Submitted: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C2710F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  <w:r w:rsidR="006906BE">
              <w:rPr>
                <w:rFonts w:ascii="Arial" w:hAnsi="Arial"/>
                <w:sz w:val="16"/>
              </w:rPr>
              <w:t xml:space="preserve"> March 2012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Lesson/Unit Duration: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3F19" w:rsidRDefault="006906BE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 minutes</w:t>
            </w:r>
            <w:r w:rsidR="00771882">
              <w:rPr>
                <w:rFonts w:ascii="Arial" w:hAnsi="Arial"/>
                <w:sz w:val="16"/>
              </w:rPr>
              <w:t>, 35 minutes</w:t>
            </w:r>
          </w:p>
        </w:tc>
      </w:tr>
    </w:tbl>
    <w:tbl>
      <w:tblPr>
        <w:tblpPr w:leftFromText="180" w:rightFromText="180" w:vertAnchor="text" w:horzAnchor="margin" w:tblpXSpec="center" w:tblpY="1450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582"/>
      </w:tblGrid>
      <w:tr w:rsidR="009B3F19" w:rsidTr="00C2710F">
        <w:trPr>
          <w:trHeight w:val="679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Pr="00E453DB" w:rsidRDefault="009B3F19" w:rsidP="001E710D">
            <w:pPr>
              <w:pStyle w:val="Heading3"/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E453DB">
              <w:rPr>
                <w:rFonts w:ascii="Times New Roman" w:hAnsi="Times New Roman"/>
                <w:sz w:val="22"/>
                <w:szCs w:val="22"/>
              </w:rPr>
              <w:t>Lesson/Unit Outcome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1882" w:rsidRPr="00771882" w:rsidRDefault="00771882" w:rsidP="007718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>MATHEMATICS</w:t>
            </w:r>
          </w:p>
          <w:p w:rsidR="000F18E8" w:rsidRDefault="00C2710F" w:rsidP="000F18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N7: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Trouver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des fractions </w:t>
            </w:r>
            <w:proofErr w:type="spellStart"/>
            <w:r w:rsidR="00771882">
              <w:rPr>
                <w:rFonts w:eastAsiaTheme="minorHAnsi"/>
                <w:sz w:val="22"/>
                <w:szCs w:val="22"/>
                <w:lang w:val="en-CA"/>
              </w:rPr>
              <w:t>é</w:t>
            </w:r>
            <w:r>
              <w:rPr>
                <w:rFonts w:eastAsiaTheme="minorHAnsi"/>
                <w:sz w:val="22"/>
                <w:szCs w:val="22"/>
                <w:lang w:val="en-CA"/>
              </w:rPr>
              <w:t>quivalentes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val="en-CA"/>
              </w:rPr>
              <w:t>et</w:t>
            </w:r>
            <w:proofErr w:type="gram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découvrir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leur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régularités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>.</w:t>
            </w:r>
          </w:p>
          <w:p w:rsidR="00771882" w:rsidRDefault="00771882" w:rsidP="007718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</w:p>
          <w:p w:rsidR="00771882" w:rsidRDefault="00771882" w:rsidP="007718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>SCIENCE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CA5: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Décrire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le cycle de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l’eau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en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termes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d’évaporation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>, de condensation et de precipitations</w:t>
            </w:r>
          </w:p>
          <w:p w:rsidR="00771882" w:rsidRPr="00771882" w:rsidRDefault="00771882" w:rsidP="007718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CA7: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Décrire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l’influence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l’énergie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solaire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sur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les conditions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atmosphériques</w:t>
            </w:r>
            <w:proofErr w:type="spellEnd"/>
          </w:p>
        </w:tc>
      </w:tr>
      <w:tr w:rsidR="009B3F19" w:rsidTr="00F305E7">
        <w:trPr>
          <w:trHeight w:val="687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Pr="00E453DB" w:rsidRDefault="007D4CE3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t>Resources Needed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71882" w:rsidRPr="00771882" w:rsidRDefault="00771882" w:rsidP="0077188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</w:t>
            </w:r>
          </w:p>
          <w:p w:rsidR="00DA244F" w:rsidRDefault="006906BE" w:rsidP="00DA244F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SMARTBOARD</w:t>
            </w:r>
          </w:p>
          <w:p w:rsidR="006906BE" w:rsidRDefault="006906BE" w:rsidP="00DA244F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book</w:t>
            </w:r>
          </w:p>
          <w:p w:rsidR="00C2710F" w:rsidRDefault="00C2710F" w:rsidP="00DA244F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Cheneli</w:t>
            </w:r>
            <w:r>
              <w:rPr>
                <w:sz w:val="22"/>
                <w:szCs w:val="22"/>
                <w:lang w:val="en-CA"/>
              </w:rPr>
              <w:t>ère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Mathématiques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DVD</w:t>
            </w:r>
          </w:p>
          <w:p w:rsidR="00C2710F" w:rsidRDefault="00C2710F" w:rsidP="00DA244F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math workbooks and journals</w:t>
            </w:r>
          </w:p>
          <w:p w:rsidR="00C2710F" w:rsidRDefault="00C2710F" w:rsidP="00DA244F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outcomes for this unit</w:t>
            </w:r>
          </w:p>
          <w:p w:rsidR="00C2710F" w:rsidRDefault="00C2710F" w:rsidP="00DA244F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Self-Evaluation forms</w:t>
            </w:r>
          </w:p>
          <w:p w:rsidR="00771882" w:rsidRDefault="00771882" w:rsidP="00771882">
            <w:pPr>
              <w:spacing w:before="20"/>
              <w:rPr>
                <w:sz w:val="22"/>
                <w:szCs w:val="22"/>
              </w:rPr>
            </w:pPr>
          </w:p>
          <w:p w:rsidR="00771882" w:rsidRDefault="00771882" w:rsidP="0077188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Cookie pan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cubes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Kettle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Mason jars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Ziploc bags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Tape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</w:t>
            </w:r>
          </w:p>
          <w:p w:rsidR="00771882" w:rsidRPr="00771882" w:rsidRDefault="00771882" w:rsidP="00771882">
            <w:pPr>
              <w:pStyle w:val="ListParagraph"/>
              <w:numPr>
                <w:ilvl w:val="0"/>
                <w:numId w:val="2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Student’s science book : </w:t>
            </w:r>
            <w:r>
              <w:rPr>
                <w:sz w:val="22"/>
                <w:szCs w:val="22"/>
                <w:u w:val="single"/>
              </w:rPr>
              <w:t xml:space="preserve">Sciences et </w:t>
            </w:r>
            <w:proofErr w:type="spellStart"/>
            <w:r>
              <w:rPr>
                <w:sz w:val="22"/>
                <w:szCs w:val="22"/>
                <w:u w:val="single"/>
              </w:rPr>
              <w:t>Technologie</w:t>
            </w:r>
            <w:proofErr w:type="spellEnd"/>
            <w:r>
              <w:rPr>
                <w:sz w:val="22"/>
                <w:szCs w:val="22"/>
                <w:u w:val="single"/>
              </w:rPr>
              <w:t>: le temps</w:t>
            </w:r>
          </w:p>
        </w:tc>
      </w:tr>
      <w:tr w:rsidR="009B3F19" w:rsidTr="000F18E8">
        <w:trPr>
          <w:trHeight w:val="1671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3F19" w:rsidRPr="00E453DB" w:rsidRDefault="009B3F19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t>Teacher-Led Activities</w:t>
            </w:r>
          </w:p>
          <w:p w:rsidR="009B3F19" w:rsidRPr="00E453DB" w:rsidRDefault="009B3F19" w:rsidP="009B3F19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71882" w:rsidRPr="00771882" w:rsidRDefault="00771882" w:rsidP="00771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BLOCK – 90 MINUTES</w:t>
            </w:r>
          </w:p>
          <w:p w:rsidR="00863706" w:rsidRPr="00771882" w:rsidRDefault="00C2710F" w:rsidP="007718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71882">
              <w:rPr>
                <w:sz w:val="22"/>
                <w:szCs w:val="22"/>
              </w:rPr>
              <w:t>For today’s lesson we will begin a new unit; fractions.</w:t>
            </w:r>
          </w:p>
          <w:p w:rsidR="00C2710F" w:rsidRDefault="00C2710F" w:rsidP="00C2710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begin by going over the curriculum outcomes for this unit. We will read them together as a class and I will be sure to explain words/terms that we will see repeatedly throughout this unit.</w:t>
            </w:r>
          </w:p>
          <w:p w:rsidR="00C2710F" w:rsidRDefault="00C2710F" w:rsidP="00C2710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then distribute the new self-evaluations for this unit and together we will read each objective and students will be able to evaluate their knowledge on these specific topics before beginning the unit.</w:t>
            </w:r>
          </w:p>
          <w:p w:rsidR="00C2710F" w:rsidRPr="00C2710F" w:rsidRDefault="00C2710F" w:rsidP="00C2710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then collect the evaluation forms and re-direct the student’s attention back to the front of the class where we will begin the new unit </w:t>
            </w:r>
            <w:r>
              <w:rPr>
                <w:sz w:val="22"/>
                <w:szCs w:val="22"/>
                <w:lang w:val="en-CA"/>
              </w:rPr>
              <w:t xml:space="preserve">“Les fractions </w:t>
            </w:r>
            <w:proofErr w:type="spellStart"/>
            <w:r>
              <w:rPr>
                <w:sz w:val="22"/>
                <w:szCs w:val="22"/>
                <w:lang w:val="en-CA"/>
              </w:rPr>
              <w:t>équivalentes</w:t>
            </w:r>
            <w:proofErr w:type="spellEnd"/>
            <w:r>
              <w:rPr>
                <w:sz w:val="22"/>
                <w:szCs w:val="22"/>
                <w:lang w:val="en-CA"/>
              </w:rPr>
              <w:t>”.</w:t>
            </w:r>
          </w:p>
          <w:p w:rsidR="00C2710F" w:rsidRDefault="00C2710F" w:rsidP="00C2710F">
            <w:pPr>
              <w:pStyle w:val="ListParagraph"/>
              <w:numPr>
                <w:ilvl w:val="0"/>
                <w:numId w:val="19"/>
              </w:numPr>
              <w:ind w:left="20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the </w:t>
            </w:r>
            <w:proofErr w:type="spellStart"/>
            <w:r>
              <w:rPr>
                <w:sz w:val="22"/>
                <w:szCs w:val="22"/>
              </w:rPr>
              <w:t>Chenelière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Mathématiques</w:t>
            </w:r>
            <w:proofErr w:type="spellEnd"/>
            <w:r>
              <w:rPr>
                <w:sz w:val="22"/>
                <w:szCs w:val="22"/>
              </w:rPr>
              <w:t xml:space="preserve"> DVD portrayed on the SMARTBOARD.</w:t>
            </w:r>
          </w:p>
          <w:p w:rsidR="00C2710F" w:rsidRDefault="00C2710F" w:rsidP="00C2710F">
            <w:pPr>
              <w:pStyle w:val="ListParagraph"/>
              <w:numPr>
                <w:ilvl w:val="0"/>
                <w:numId w:val="20"/>
              </w:numPr>
              <w:ind w:left="14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begin with examining the introduction to this until found on page 164 of the student`s math books or right on the SMARTBOARD.</w:t>
            </w:r>
          </w:p>
          <w:p w:rsidR="00C2710F" w:rsidRDefault="00C2710F" w:rsidP="00C2710F">
            <w:pPr>
              <w:pStyle w:val="ListParagraph"/>
              <w:numPr>
                <w:ilvl w:val="0"/>
                <w:numId w:val="20"/>
              </w:numPr>
              <w:ind w:left="14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ask students questions from the teacher </w:t>
            </w:r>
            <w:proofErr w:type="spellStart"/>
            <w:proofErr w:type="gramStart"/>
            <w:r>
              <w:rPr>
                <w:sz w:val="22"/>
                <w:szCs w:val="22"/>
              </w:rPr>
              <w:t>manuel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  <w:u w:val="single"/>
              </w:rPr>
              <w:t>Chenelière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Mathématiques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5</w:t>
            </w:r>
            <w:r>
              <w:rPr>
                <w:sz w:val="22"/>
                <w:szCs w:val="22"/>
              </w:rPr>
              <w:t>.</w:t>
            </w:r>
          </w:p>
          <w:p w:rsidR="00C2710F" w:rsidRPr="00C2710F" w:rsidRDefault="00C2710F" w:rsidP="00C2710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then continue as usual through the book (or DVD)  where we will go through the </w:t>
            </w:r>
            <w:r>
              <w:rPr>
                <w:sz w:val="22"/>
                <w:szCs w:val="22"/>
                <w:lang w:val="en-CA"/>
              </w:rPr>
              <w:t>“Explore” and “</w:t>
            </w:r>
            <w:proofErr w:type="spellStart"/>
            <w:r>
              <w:rPr>
                <w:sz w:val="22"/>
                <w:szCs w:val="22"/>
                <w:lang w:val="en-CA"/>
              </w:rPr>
              <w:t>Découvre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” sections, always by asking questions found within my teacher </w:t>
            </w:r>
            <w:proofErr w:type="spellStart"/>
            <w:r>
              <w:rPr>
                <w:sz w:val="22"/>
                <w:szCs w:val="22"/>
                <w:lang w:val="en-CA"/>
              </w:rPr>
              <w:t>manuel</w:t>
            </w:r>
            <w:proofErr w:type="spellEnd"/>
            <w:r>
              <w:rPr>
                <w:sz w:val="22"/>
                <w:szCs w:val="22"/>
                <w:lang w:val="en-CA"/>
              </w:rPr>
              <w:t>.</w:t>
            </w:r>
          </w:p>
          <w:p w:rsidR="00C2710F" w:rsidRPr="00C2710F" w:rsidRDefault="00C2710F" w:rsidP="00C2710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Once we have completed the whole-class discussions and teaching of this beginning section, I will ask if anyone has any other questions or concerns about the topic of equivalent fractions.</w:t>
            </w:r>
          </w:p>
          <w:p w:rsidR="00C2710F" w:rsidRPr="00C2710F" w:rsidRDefault="00C2710F" w:rsidP="00C2710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then get an opportunity to begin working on the questions found under the </w:t>
            </w:r>
            <w:r>
              <w:rPr>
                <w:sz w:val="22"/>
                <w:szCs w:val="22"/>
                <w:lang w:val="en-CA"/>
              </w:rPr>
              <w:t>“À ton tour” section found on page 168 of the mathematics book.</w:t>
            </w:r>
          </w:p>
          <w:p w:rsidR="00C2710F" w:rsidRPr="00771882" w:rsidRDefault="00C2710F" w:rsidP="00C2710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t>Based on the time remaining at the end of class, I will determine whether or not the work will be continued tomorrow or if it will be assigned for homework.</w:t>
            </w:r>
          </w:p>
          <w:p w:rsidR="00771882" w:rsidRDefault="00771882" w:rsidP="00771882">
            <w:pPr>
              <w:rPr>
                <w:sz w:val="22"/>
                <w:szCs w:val="22"/>
              </w:rPr>
            </w:pPr>
          </w:p>
          <w:p w:rsidR="00771882" w:rsidRDefault="00771882" w:rsidP="00771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BLOCK – 35 MINUTES</w:t>
            </w:r>
          </w:p>
          <w:p w:rsidR="00771882" w:rsidRP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continue with the unit </w:t>
            </w:r>
            <w:r>
              <w:rPr>
                <w:sz w:val="22"/>
                <w:szCs w:val="22"/>
                <w:lang w:val="en-CA"/>
              </w:rPr>
              <w:t xml:space="preserve">“Le temps” where today’s lesson will focus on the cycle of water and the importance of water within our everyday life. 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begin, I will ask the students if they know where rain comes from or where do they think rain comes from? We will have a brief discussion about the origins of rain.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the discussion, we will conduct an experiment which will demonstrate the cycle of water very well.</w:t>
            </w:r>
          </w:p>
          <w:p w:rsidR="00771882" w:rsidRPr="00771882" w:rsidRDefault="00771882" w:rsidP="00771882">
            <w:pPr>
              <w:pStyle w:val="ListParagraph"/>
              <w:numPr>
                <w:ilvl w:val="0"/>
                <w:numId w:val="19"/>
              </w:numPr>
              <w:ind w:left="20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experiment is found on page 30 of the teacher’s manual of the </w:t>
            </w:r>
            <w:r>
              <w:rPr>
                <w:sz w:val="22"/>
                <w:szCs w:val="22"/>
                <w:u w:val="single"/>
              </w:rPr>
              <w:t xml:space="preserve">Science </w:t>
            </w:r>
            <w:proofErr w:type="gramStart"/>
            <w:r>
              <w:rPr>
                <w:sz w:val="22"/>
                <w:szCs w:val="22"/>
                <w:u w:val="single"/>
              </w:rPr>
              <w:t>et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Technologie</w:t>
            </w:r>
            <w:proofErr w:type="spellEnd"/>
            <w:r>
              <w:rPr>
                <w:sz w:val="22"/>
                <w:szCs w:val="22"/>
                <w:u w:val="single"/>
              </w:rPr>
              <w:t>: Le temps</w:t>
            </w:r>
            <w:r>
              <w:rPr>
                <w:sz w:val="22"/>
                <w:szCs w:val="22"/>
                <w:lang w:val="en-CA"/>
              </w:rPr>
              <w:t xml:space="preserve">. </w:t>
            </w:r>
          </w:p>
          <w:p w:rsidR="00771882" w:rsidRPr="00771882" w:rsidRDefault="00771882" w:rsidP="00771882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the experiment, we will have a brief whole-class discussion of the cycle of water we have just witnessed and students will be able to better understand where water comes from and how it gets </w:t>
            </w:r>
            <w:r>
              <w:rPr>
                <w:sz w:val="22"/>
                <w:szCs w:val="22"/>
                <w:lang w:val="en-CA"/>
              </w:rPr>
              <w:t>“recycled” through this cycle.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students will then be asked to open their books to page 18 where we will look at the four images on the page and have a discussion of the different ways water is used in everyday life. 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student will then be asked to read the paragraph “Pour commencer” found under the images; following the reading, we will discuss the paragraph where I will explain any unknown vocabulary.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student will then be called upon to read the next section (“Pour en savoir plus”) which explains the actual cycle of water.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the reading I will then re-explain by summarizing the reading in order for everyone to better understand the water cycle.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the readings, and with time permitting, we will conduct another experiment where we create a simulation of the water cycle with a Mason jar and Ziploc bag.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experiment will take place over the next few days as we will observe the cycle and where students will be asked to make a chart in their science workbooks of the changes they observe.</w:t>
            </w:r>
          </w:p>
          <w:p w:rsidR="00E50F91" w:rsidRPr="00771882" w:rsidRDefault="00771882" w:rsidP="00E50F91">
            <w:pPr>
              <w:pStyle w:val="ListParagraph"/>
              <w:numPr>
                <w:ilvl w:val="0"/>
                <w:numId w:val="19"/>
              </w:numPr>
              <w:ind w:left="20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important that students use vocabulary such as “</w:t>
            </w:r>
            <w:r>
              <w:rPr>
                <w:sz w:val="22"/>
                <w:szCs w:val="22"/>
                <w:lang w:val="en-CA"/>
              </w:rPr>
              <w:t>evaporation”, “</w:t>
            </w:r>
            <w:proofErr w:type="spellStart"/>
            <w:r>
              <w:rPr>
                <w:sz w:val="22"/>
                <w:szCs w:val="22"/>
                <w:lang w:val="en-CA"/>
              </w:rPr>
              <w:t>vapeur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d’eau</w:t>
            </w:r>
            <w:proofErr w:type="spellEnd"/>
            <w:r>
              <w:rPr>
                <w:sz w:val="22"/>
                <w:szCs w:val="22"/>
                <w:lang w:val="en-CA"/>
              </w:rPr>
              <w:t>”, “condensation”, etc.</w:t>
            </w:r>
          </w:p>
        </w:tc>
      </w:tr>
      <w:tr w:rsidR="009B3F19" w:rsidTr="00F305E7">
        <w:trPr>
          <w:trHeight w:val="616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B3F19" w:rsidRPr="00E453DB" w:rsidRDefault="009B3F19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lastRenderedPageBreak/>
              <w:t>Student-Centered  Activities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906BE" w:rsidRDefault="006906BE" w:rsidP="00C271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C2710F">
              <w:rPr>
                <w:sz w:val="22"/>
                <w:szCs w:val="22"/>
              </w:rPr>
              <w:t xml:space="preserve">get an understanding of the new curriculum outcomes that will be </w:t>
            </w:r>
            <w:proofErr w:type="gramStart"/>
            <w:r w:rsidR="00C2710F">
              <w:rPr>
                <w:sz w:val="22"/>
                <w:szCs w:val="22"/>
              </w:rPr>
              <w:t>viewed/studied</w:t>
            </w:r>
            <w:proofErr w:type="gramEnd"/>
            <w:r w:rsidR="00C2710F">
              <w:rPr>
                <w:sz w:val="22"/>
                <w:szCs w:val="22"/>
              </w:rPr>
              <w:t xml:space="preserve"> throughout this unit</w:t>
            </w:r>
            <w:r w:rsidR="00F305E7">
              <w:rPr>
                <w:sz w:val="22"/>
                <w:szCs w:val="22"/>
              </w:rPr>
              <w:t>.</w:t>
            </w:r>
          </w:p>
          <w:p w:rsidR="00C2710F" w:rsidRPr="00C2710F" w:rsidRDefault="00C2710F" w:rsidP="00C271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begin working with equivalent fractions and learn the meaning of certain vocabulary such as “</w:t>
            </w:r>
            <w:proofErr w:type="spellStart"/>
            <w:r>
              <w:rPr>
                <w:sz w:val="22"/>
                <w:szCs w:val="22"/>
              </w:rPr>
              <w:t>dénominateur</w:t>
            </w:r>
            <w:proofErr w:type="spellEnd"/>
            <w:r>
              <w:rPr>
                <w:sz w:val="22"/>
                <w:szCs w:val="22"/>
              </w:rPr>
              <w:t>”, “</w:t>
            </w:r>
            <w:proofErr w:type="spellStart"/>
            <w:r>
              <w:rPr>
                <w:sz w:val="22"/>
                <w:szCs w:val="22"/>
              </w:rPr>
              <w:t>numérateur</w:t>
            </w:r>
            <w:proofErr w:type="spellEnd"/>
            <w:r>
              <w:rPr>
                <w:sz w:val="22"/>
                <w:szCs w:val="22"/>
              </w:rPr>
              <w:t xml:space="preserve">”, “fractions </w:t>
            </w:r>
            <w:proofErr w:type="spellStart"/>
            <w:r>
              <w:rPr>
                <w:sz w:val="22"/>
                <w:szCs w:val="22"/>
                <w:lang w:val="en-CA"/>
              </w:rPr>
              <w:t>equivalentes</w:t>
            </w:r>
            <w:proofErr w:type="spellEnd"/>
            <w:r>
              <w:rPr>
                <w:sz w:val="22"/>
                <w:szCs w:val="22"/>
                <w:lang w:val="en-CA"/>
              </w:rPr>
              <w:t>”, and “</w:t>
            </w:r>
            <w:proofErr w:type="spellStart"/>
            <w:r>
              <w:rPr>
                <w:sz w:val="22"/>
                <w:szCs w:val="22"/>
                <w:lang w:val="en-CA"/>
              </w:rPr>
              <w:t>nombres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décimaux</w:t>
            </w:r>
            <w:proofErr w:type="spellEnd"/>
            <w:r>
              <w:rPr>
                <w:sz w:val="22"/>
                <w:szCs w:val="22"/>
                <w:lang w:val="en-CA"/>
              </w:rPr>
              <w:t>”.</w:t>
            </w:r>
          </w:p>
          <w:p w:rsidR="00C2710F" w:rsidRPr="00C2710F" w:rsidRDefault="00C2710F" w:rsidP="00C271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Students will practice certain fraction-related questions as a whole-class discussion; first with a partner and then sharing their results with the class.</w:t>
            </w:r>
          </w:p>
          <w:p w:rsidR="00C2710F" w:rsidRPr="00771882" w:rsidRDefault="00C2710F" w:rsidP="00C271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Students will then work on their own in order to complete the “À ton tour” section in the mathematics book.</w:t>
            </w:r>
          </w:p>
          <w:p w:rsidR="00771882" w:rsidRDefault="00771882" w:rsidP="00771882">
            <w:pPr>
              <w:rPr>
                <w:sz w:val="22"/>
                <w:szCs w:val="22"/>
              </w:rPr>
            </w:pPr>
          </w:p>
          <w:p w:rsid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learn about the cycle of water by having discussions and conducting experiments.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create their own water cycle in order to better understand where and how water gets recycled to create its cycle.</w:t>
            </w:r>
          </w:p>
          <w:p w:rsid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read the “Pour commencer” and “Pour en savoir plus” sections in order to get a better understanding of the water cycle.</w:t>
            </w:r>
          </w:p>
          <w:p w:rsidR="00771882" w:rsidRP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create their very own simulation of the water cycle with Mason jars and Ziploc bags along with noting their observations in a chart for a week’s time.</w:t>
            </w:r>
          </w:p>
        </w:tc>
      </w:tr>
      <w:tr w:rsidR="001B196C" w:rsidTr="00856E69">
        <w:trPr>
          <w:trHeight w:val="396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196C" w:rsidRPr="00E453DB" w:rsidRDefault="001B196C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t xml:space="preserve">Student </w:t>
            </w:r>
            <w:r w:rsidRPr="00E453DB">
              <w:rPr>
                <w:b/>
                <w:sz w:val="22"/>
                <w:szCs w:val="22"/>
              </w:rPr>
              <w:lastRenderedPageBreak/>
              <w:t>Assessment</w:t>
            </w:r>
            <w:r w:rsidRPr="00E453DB">
              <w:rPr>
                <w:b/>
                <w:sz w:val="22"/>
                <w:szCs w:val="22"/>
              </w:rPr>
              <w:br/>
              <w:t>Strategy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2710F" w:rsidRPr="00771882" w:rsidRDefault="001B196C" w:rsidP="00C2710F">
            <w:pPr>
              <w:pStyle w:val="ListParagraph"/>
              <w:numPr>
                <w:ilvl w:val="0"/>
                <w:numId w:val="3"/>
              </w:numPr>
              <w:spacing w:before="20"/>
              <w:rPr>
                <w:sz w:val="22"/>
                <w:szCs w:val="22"/>
              </w:rPr>
            </w:pPr>
            <w:r w:rsidRPr="00E453DB">
              <w:rPr>
                <w:sz w:val="22"/>
                <w:szCs w:val="22"/>
              </w:rPr>
              <w:lastRenderedPageBreak/>
              <w:t xml:space="preserve">Students will be assessed </w:t>
            </w:r>
            <w:r w:rsidR="00E453DB">
              <w:rPr>
                <w:sz w:val="22"/>
                <w:szCs w:val="22"/>
              </w:rPr>
              <w:t xml:space="preserve">on their </w:t>
            </w:r>
            <w:r w:rsidR="006906BE">
              <w:rPr>
                <w:sz w:val="22"/>
                <w:szCs w:val="22"/>
              </w:rPr>
              <w:t xml:space="preserve">understanding of </w:t>
            </w:r>
            <w:r w:rsidR="00C2710F">
              <w:rPr>
                <w:sz w:val="22"/>
                <w:szCs w:val="22"/>
              </w:rPr>
              <w:t>this new concept/new unit through whole-</w:t>
            </w:r>
            <w:r w:rsidR="00C2710F">
              <w:rPr>
                <w:sz w:val="22"/>
                <w:szCs w:val="22"/>
              </w:rPr>
              <w:lastRenderedPageBreak/>
              <w:t>class discussion and with the work that will be completed in the “</w:t>
            </w:r>
            <w:r w:rsidR="00C2710F">
              <w:rPr>
                <w:sz w:val="22"/>
                <w:szCs w:val="22"/>
                <w:lang w:val="en-CA"/>
              </w:rPr>
              <w:t xml:space="preserve">À ton tour” section. </w:t>
            </w:r>
          </w:p>
          <w:p w:rsidR="00771882" w:rsidRDefault="00771882" w:rsidP="00771882">
            <w:pPr>
              <w:spacing w:before="20"/>
              <w:rPr>
                <w:sz w:val="22"/>
                <w:szCs w:val="22"/>
              </w:rPr>
            </w:pPr>
          </w:p>
          <w:p w:rsidR="00771882" w:rsidRDefault="00771882" w:rsidP="0077188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assessed on their understanding of the basic vocabulary used to describe the cycle of water.</w:t>
            </w:r>
          </w:p>
          <w:p w:rsidR="00771882" w:rsidRPr="00771882" w:rsidRDefault="00771882" w:rsidP="00771882">
            <w:pPr>
              <w:pStyle w:val="ListParagraph"/>
              <w:numPr>
                <w:ilvl w:val="0"/>
                <w:numId w:val="25"/>
              </w:numPr>
              <w:spacing w:before="20"/>
              <w:rPr>
                <w:sz w:val="22"/>
                <w:szCs w:val="22"/>
              </w:rPr>
            </w:pPr>
            <w:r w:rsidRPr="00771882">
              <w:rPr>
                <w:sz w:val="22"/>
                <w:szCs w:val="22"/>
              </w:rPr>
              <w:t>Students will be assessed on the conducting of two experiments in order to better understand and visualize the water cycle.</w:t>
            </w:r>
          </w:p>
        </w:tc>
      </w:tr>
      <w:tr w:rsidR="001B196C" w:rsidTr="00856E69">
        <w:trPr>
          <w:trHeight w:hRule="exact" w:val="5126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B196C" w:rsidRPr="00E453DB" w:rsidRDefault="001B196C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lastRenderedPageBreak/>
              <w:t>Reflection</w:t>
            </w:r>
          </w:p>
        </w:tc>
        <w:tc>
          <w:tcPr>
            <w:tcW w:w="958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B196C" w:rsidRPr="00E453DB" w:rsidRDefault="001B196C" w:rsidP="009B3F19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9B3F19" w:rsidRDefault="009B3F19" w:rsidP="009B3F19"/>
    <w:p w:rsidR="00CB0EDF" w:rsidRDefault="00CB0EDF"/>
    <w:p w:rsidR="001B196C" w:rsidRDefault="001B196C"/>
    <w:p w:rsidR="001B196C" w:rsidRDefault="001B196C" w:rsidP="001B196C"/>
    <w:p w:rsidR="001B196C" w:rsidRDefault="001B196C" w:rsidP="001B196C"/>
    <w:p w:rsidR="001B196C" w:rsidRDefault="001B196C"/>
    <w:sectPr w:rsidR="001B196C" w:rsidSect="007D4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526"/>
    <w:multiLevelType w:val="hybridMultilevel"/>
    <w:tmpl w:val="1F929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056"/>
    <w:multiLevelType w:val="hybridMultilevel"/>
    <w:tmpl w:val="A0F45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128A"/>
    <w:multiLevelType w:val="hybridMultilevel"/>
    <w:tmpl w:val="B7782586"/>
    <w:lvl w:ilvl="0" w:tplc="5C0A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B60"/>
    <w:multiLevelType w:val="hybridMultilevel"/>
    <w:tmpl w:val="D4F2E7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90602"/>
    <w:multiLevelType w:val="hybridMultilevel"/>
    <w:tmpl w:val="513CBD5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587B7A"/>
    <w:multiLevelType w:val="hybridMultilevel"/>
    <w:tmpl w:val="47284A9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0870C1"/>
    <w:multiLevelType w:val="hybridMultilevel"/>
    <w:tmpl w:val="C3C4DD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A4139"/>
    <w:multiLevelType w:val="hybridMultilevel"/>
    <w:tmpl w:val="B8D072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62931"/>
    <w:multiLevelType w:val="hybridMultilevel"/>
    <w:tmpl w:val="BFD27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5FB4"/>
    <w:multiLevelType w:val="hybridMultilevel"/>
    <w:tmpl w:val="78F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1A83"/>
    <w:multiLevelType w:val="hybridMultilevel"/>
    <w:tmpl w:val="3FC4AA88"/>
    <w:lvl w:ilvl="0" w:tplc="5C0A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20F9F"/>
    <w:multiLevelType w:val="hybridMultilevel"/>
    <w:tmpl w:val="0F6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07D0C"/>
    <w:multiLevelType w:val="hybridMultilevel"/>
    <w:tmpl w:val="383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652FE"/>
    <w:multiLevelType w:val="hybridMultilevel"/>
    <w:tmpl w:val="2304B86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1D1CEE"/>
    <w:multiLevelType w:val="hybridMultilevel"/>
    <w:tmpl w:val="A8DA5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95ED1"/>
    <w:multiLevelType w:val="hybridMultilevel"/>
    <w:tmpl w:val="4E244E1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69177C"/>
    <w:multiLevelType w:val="hybridMultilevel"/>
    <w:tmpl w:val="0FB867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F2941"/>
    <w:multiLevelType w:val="hybridMultilevel"/>
    <w:tmpl w:val="62E0B0F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9343A6"/>
    <w:multiLevelType w:val="hybridMultilevel"/>
    <w:tmpl w:val="CF56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92FAD"/>
    <w:multiLevelType w:val="hybridMultilevel"/>
    <w:tmpl w:val="914CAB3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66044EC"/>
    <w:multiLevelType w:val="hybridMultilevel"/>
    <w:tmpl w:val="664E217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0E49A7"/>
    <w:multiLevelType w:val="hybridMultilevel"/>
    <w:tmpl w:val="2BE082E8"/>
    <w:lvl w:ilvl="0" w:tplc="60C6E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644C5"/>
    <w:multiLevelType w:val="hybridMultilevel"/>
    <w:tmpl w:val="938AA434"/>
    <w:lvl w:ilvl="0" w:tplc="E592A8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C7DEA"/>
    <w:multiLevelType w:val="hybridMultilevel"/>
    <w:tmpl w:val="83B2CE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764616"/>
    <w:multiLevelType w:val="hybridMultilevel"/>
    <w:tmpl w:val="DEB699E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350B35"/>
    <w:multiLevelType w:val="hybridMultilevel"/>
    <w:tmpl w:val="4A38B9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F614C"/>
    <w:multiLevelType w:val="hybridMultilevel"/>
    <w:tmpl w:val="D53A9C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529CE"/>
    <w:multiLevelType w:val="hybridMultilevel"/>
    <w:tmpl w:val="0450D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"/>
  </w:num>
  <w:num w:numId="14">
    <w:abstractNumId w:val="26"/>
  </w:num>
  <w:num w:numId="15">
    <w:abstractNumId w:val="21"/>
  </w:num>
  <w:num w:numId="16">
    <w:abstractNumId w:val="23"/>
  </w:num>
  <w:num w:numId="17">
    <w:abstractNumId w:val="19"/>
  </w:num>
  <w:num w:numId="18">
    <w:abstractNumId w:val="3"/>
  </w:num>
  <w:num w:numId="19">
    <w:abstractNumId w:val="20"/>
  </w:num>
  <w:num w:numId="20">
    <w:abstractNumId w:val="25"/>
  </w:num>
  <w:num w:numId="21">
    <w:abstractNumId w:val="13"/>
  </w:num>
  <w:num w:numId="22">
    <w:abstractNumId w:val="10"/>
  </w:num>
  <w:num w:numId="23">
    <w:abstractNumId w:val="2"/>
  </w:num>
  <w:num w:numId="24">
    <w:abstractNumId w:val="27"/>
  </w:num>
  <w:num w:numId="25">
    <w:abstractNumId w:val="18"/>
  </w:num>
  <w:num w:numId="26">
    <w:abstractNumId w:val="16"/>
  </w:num>
  <w:num w:numId="27">
    <w:abstractNumId w:val="4"/>
  </w:num>
  <w:num w:numId="2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B3F19"/>
    <w:rsid w:val="000916D0"/>
    <w:rsid w:val="000A2DA5"/>
    <w:rsid w:val="000A4E59"/>
    <w:rsid w:val="000B1E3E"/>
    <w:rsid w:val="000F18E8"/>
    <w:rsid w:val="001025FC"/>
    <w:rsid w:val="00144585"/>
    <w:rsid w:val="00153FAF"/>
    <w:rsid w:val="001835DE"/>
    <w:rsid w:val="001B196C"/>
    <w:rsid w:val="001C7984"/>
    <w:rsid w:val="001D22B6"/>
    <w:rsid w:val="001D6F2A"/>
    <w:rsid w:val="001E710D"/>
    <w:rsid w:val="0020584F"/>
    <w:rsid w:val="002363B5"/>
    <w:rsid w:val="0025291B"/>
    <w:rsid w:val="00256D5B"/>
    <w:rsid w:val="00276E00"/>
    <w:rsid w:val="002807BA"/>
    <w:rsid w:val="002825A3"/>
    <w:rsid w:val="003129EA"/>
    <w:rsid w:val="00323FBA"/>
    <w:rsid w:val="00356745"/>
    <w:rsid w:val="003A2B1F"/>
    <w:rsid w:val="003D0F87"/>
    <w:rsid w:val="003D710B"/>
    <w:rsid w:val="00452409"/>
    <w:rsid w:val="00475B08"/>
    <w:rsid w:val="00492147"/>
    <w:rsid w:val="004A09DB"/>
    <w:rsid w:val="004C769C"/>
    <w:rsid w:val="004E5BC6"/>
    <w:rsid w:val="004E6E2E"/>
    <w:rsid w:val="005062D8"/>
    <w:rsid w:val="005672C2"/>
    <w:rsid w:val="00596411"/>
    <w:rsid w:val="00597E6C"/>
    <w:rsid w:val="005B2C1D"/>
    <w:rsid w:val="005D185F"/>
    <w:rsid w:val="005D6660"/>
    <w:rsid w:val="006229CB"/>
    <w:rsid w:val="006906BE"/>
    <w:rsid w:val="00696A02"/>
    <w:rsid w:val="006A610A"/>
    <w:rsid w:val="006F5771"/>
    <w:rsid w:val="006F57C2"/>
    <w:rsid w:val="006F57F5"/>
    <w:rsid w:val="00717DF8"/>
    <w:rsid w:val="00771882"/>
    <w:rsid w:val="00773CBC"/>
    <w:rsid w:val="007D4CE3"/>
    <w:rsid w:val="008306DF"/>
    <w:rsid w:val="00856E69"/>
    <w:rsid w:val="00863706"/>
    <w:rsid w:val="00872E73"/>
    <w:rsid w:val="008E05E1"/>
    <w:rsid w:val="009178FE"/>
    <w:rsid w:val="00920AE1"/>
    <w:rsid w:val="009415A7"/>
    <w:rsid w:val="00944543"/>
    <w:rsid w:val="009800B5"/>
    <w:rsid w:val="00992272"/>
    <w:rsid w:val="009B3F19"/>
    <w:rsid w:val="009F2CF3"/>
    <w:rsid w:val="00A153FA"/>
    <w:rsid w:val="00A17504"/>
    <w:rsid w:val="00AB5A28"/>
    <w:rsid w:val="00B2614B"/>
    <w:rsid w:val="00B40D98"/>
    <w:rsid w:val="00B4752F"/>
    <w:rsid w:val="00BC157F"/>
    <w:rsid w:val="00BC4411"/>
    <w:rsid w:val="00BE36B3"/>
    <w:rsid w:val="00C021D2"/>
    <w:rsid w:val="00C02F67"/>
    <w:rsid w:val="00C2710F"/>
    <w:rsid w:val="00C41B68"/>
    <w:rsid w:val="00C923BE"/>
    <w:rsid w:val="00C92688"/>
    <w:rsid w:val="00CB0EDF"/>
    <w:rsid w:val="00CE3B3A"/>
    <w:rsid w:val="00D01D5E"/>
    <w:rsid w:val="00D1672D"/>
    <w:rsid w:val="00D2226A"/>
    <w:rsid w:val="00D3298C"/>
    <w:rsid w:val="00D518AE"/>
    <w:rsid w:val="00D80EA0"/>
    <w:rsid w:val="00D943D0"/>
    <w:rsid w:val="00DA244F"/>
    <w:rsid w:val="00E453DB"/>
    <w:rsid w:val="00E50F91"/>
    <w:rsid w:val="00EE4296"/>
    <w:rsid w:val="00F010C5"/>
    <w:rsid w:val="00F0539B"/>
    <w:rsid w:val="00F305E7"/>
    <w:rsid w:val="00F80158"/>
    <w:rsid w:val="00F94383"/>
    <w:rsid w:val="00FB00B9"/>
    <w:rsid w:val="00F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3F19"/>
    <w:pPr>
      <w:keepNext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9B3F19"/>
    <w:pPr>
      <w:keepNext/>
      <w:spacing w:before="80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3F1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B3F19"/>
    <w:rPr>
      <w:rFonts w:ascii="Arial" w:eastAsia="Times New Roman" w:hAnsi="Arial" w:cs="Times New Roman"/>
      <w:b/>
      <w:sz w:val="16"/>
      <w:szCs w:val="20"/>
      <w:lang w:val="en-US"/>
    </w:rPr>
  </w:style>
  <w:style w:type="paragraph" w:styleId="Header">
    <w:name w:val="header"/>
    <w:basedOn w:val="Normal"/>
    <w:link w:val="HeaderChar"/>
    <w:rsid w:val="009B3F19"/>
    <w:pPr>
      <w:tabs>
        <w:tab w:val="center" w:pos="4320"/>
        <w:tab w:val="right" w:pos="8640"/>
      </w:tabs>
      <w:spacing w:after="240"/>
    </w:pPr>
    <w:rPr>
      <w:rFonts w:ascii="Arial" w:hAnsi="Arial"/>
      <w:snapToGrid w:val="0"/>
    </w:rPr>
  </w:style>
  <w:style w:type="character" w:customStyle="1" w:styleId="HeaderChar">
    <w:name w:val="Header Char"/>
    <w:basedOn w:val="DefaultParagraphFont"/>
    <w:link w:val="Header"/>
    <w:rsid w:val="009B3F19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4CE3"/>
    <w:pPr>
      <w:ind w:left="720"/>
      <w:contextualSpacing/>
    </w:pPr>
  </w:style>
  <w:style w:type="paragraph" w:styleId="NoSpacing">
    <w:name w:val="No Spacing"/>
    <w:uiPriority w:val="1"/>
    <w:qFormat/>
    <w:rsid w:val="00D1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86B6C-1F4E-4342-B188-5B37571B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Audrey</cp:lastModifiedBy>
  <cp:revision>4</cp:revision>
  <cp:lastPrinted>2011-11-10T01:15:00Z</cp:lastPrinted>
  <dcterms:created xsi:type="dcterms:W3CDTF">2012-03-26T18:10:00Z</dcterms:created>
  <dcterms:modified xsi:type="dcterms:W3CDTF">2012-03-26T20:36:00Z</dcterms:modified>
</cp:coreProperties>
</file>